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CB2" w:rsidRDefault="00526CB2" w:rsidP="00526CB2">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МЕТОДИЧЕСКИЕ РЕКОМЕНДАЦИИ</w:t>
      </w:r>
    </w:p>
    <w:p w:rsidR="00526CB2" w:rsidRDefault="00526CB2" w:rsidP="00526CB2">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по проведению анализа сведений о доходах, расходах, об имуществе и обязательствах имущественного характера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Pr>
          <w:rFonts w:ascii="Helvetica" w:hAnsi="Helvetica" w:cs="Helvetica"/>
          <w:color w:val="333333"/>
          <w:sz w:val="16"/>
          <w:szCs w:val="16"/>
          <w:vertAlign w:val="superscript"/>
        </w:rPr>
        <w:t>1</w:t>
      </w:r>
      <w:r>
        <w:rPr>
          <w:rFonts w:ascii="Helvetica" w:hAnsi="Helvetica" w:cs="Helvetica"/>
          <w:color w:val="333333"/>
          <w:sz w:val="21"/>
          <w:szCs w:val="21"/>
        </w:rPr>
        <w:t>.</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законом от 25 декабря 2008 г. № 273-ФЗ «О противодействии коррупции», а также иными федеральными законами.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Pr>
          <w:rFonts w:ascii="Helvetica" w:hAnsi="Helvetica" w:cs="Helvetica"/>
          <w:color w:val="333333"/>
          <w:sz w:val="16"/>
          <w:szCs w:val="16"/>
          <w:vertAlign w:val="superscript"/>
        </w:rPr>
        <w:t>2</w:t>
      </w:r>
      <w:r>
        <w:rPr>
          <w:rFonts w:ascii="Helvetica" w:hAnsi="Helvetica" w:cs="Helvetica"/>
          <w:color w:val="333333"/>
          <w:sz w:val="21"/>
          <w:szCs w:val="21"/>
        </w:rPr>
        <w:t>.</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Целями настоящих методических рекомендаций являются: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Анализ сведений предполагает широкую вариативность действий, включая</w:t>
      </w:r>
      <w:r>
        <w:rPr>
          <w:rFonts w:ascii="Helvetica" w:hAnsi="Helvetica" w:cs="Helvetica"/>
          <w:color w:val="333333"/>
          <w:sz w:val="16"/>
          <w:szCs w:val="16"/>
          <w:vertAlign w:val="superscript"/>
        </w:rPr>
        <w:t>2</w:t>
      </w:r>
      <w:r>
        <w:rPr>
          <w:rFonts w:ascii="Helvetica" w:hAnsi="Helvetica" w:cs="Helvetica"/>
          <w:color w:val="333333"/>
          <w:sz w:val="21"/>
          <w:szCs w:val="21"/>
        </w:rPr>
        <w:t>:</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 противодействии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I. Первичная оценка справки о доходах, расходах, об имуществе и обязательствах имущественного характера за отчетный период</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приеме справки оценивается: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своевременность представления сведений.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соответствие представленной справки утвержденной форме;</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сведения о своих доходах, доходах супруги (супруга), несовершеннолетних детей, полученных за календарный год (с 1 января</w:t>
      </w:r>
      <w:r>
        <w:rPr>
          <w:rFonts w:ascii="Helvetica" w:hAnsi="Helvetica" w:cs="Helvetica"/>
          <w:color w:val="333333"/>
          <w:sz w:val="21"/>
          <w:szCs w:val="21"/>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Pr>
          <w:rFonts w:ascii="Helvetica" w:hAnsi="Helvetica" w:cs="Helvetica"/>
          <w:color w:val="333333"/>
          <w:sz w:val="21"/>
          <w:szCs w:val="21"/>
        </w:rPr>
        <w:br/>
        <w:t>(на отчетную дату).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Государственные (муниципальные) служащие, (работники) представляют:</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w:t>
      </w:r>
      <w:r>
        <w:rPr>
          <w:rFonts w:ascii="Helvetica" w:hAnsi="Helvetica" w:cs="Helvetica"/>
          <w:color w:val="333333"/>
          <w:sz w:val="21"/>
          <w:szCs w:val="21"/>
        </w:rPr>
        <w:lastRenderedPageBreak/>
        <w:t>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полнота заполнения соответствующих разделов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частности, 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II. Детальный анализ справки о доходах, расходах, об имуществе и обязательствах имущественного характера за отчетный период</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r>
        <w:rPr>
          <w:rFonts w:ascii="Helvetica" w:hAnsi="Helvetica" w:cs="Helvetica"/>
          <w:color w:val="333333"/>
          <w:sz w:val="16"/>
          <w:szCs w:val="16"/>
          <w:vertAlign w:val="superscript"/>
        </w:rPr>
        <w:t>2</w:t>
      </w:r>
      <w:r>
        <w:rPr>
          <w:rFonts w:ascii="Helvetica" w:hAnsi="Helvetica" w:cs="Helvetica"/>
          <w:color w:val="333333"/>
          <w:sz w:val="21"/>
          <w:szCs w:val="21"/>
        </w:rPr>
        <w:t>.</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w:t>
      </w:r>
      <w:r>
        <w:rPr>
          <w:rFonts w:ascii="Helvetica" w:hAnsi="Helvetica" w:cs="Helvetica"/>
          <w:color w:val="333333"/>
          <w:sz w:val="21"/>
          <w:szCs w:val="21"/>
        </w:rPr>
        <w:lastRenderedPageBreak/>
        <w:t>(супруга),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2.1. Титульный лист</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 анализе титульного листа справки следует обратить внимание на: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паспорта),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5"/>
          <w:rFonts w:ascii="Helvetica" w:hAnsi="Helvetica" w:cs="Helvetica"/>
          <w:color w:val="333333"/>
          <w:sz w:val="21"/>
          <w:szCs w:val="21"/>
        </w:rP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5"/>
          <w:rFonts w:ascii="Helvetica" w:hAnsi="Helvetica" w:cs="Helvetica"/>
          <w:color w:val="333333"/>
          <w:sz w:val="21"/>
          <w:szCs w:val="21"/>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2.2. Раздел 1 «Сведения о доходах»</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случаях, если для осуществления отдельных видов деятельности установлен запрет, проверяется соблюдение данного запрета.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 доходах от вкладов в банках и иных кредитных организациях (строка 4) сопоставляются с разделом 4 «Сведения о счетах в банках и иных кредитных организациях» справки, а также справок за предыдущие периоды.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анализе раздела 1 «Сведения о доходах» справки следует обратить внимание на обязательность указания итогового дохода (строка 7), который складывается из суммы строк 1 – 6 данного раздела.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2.3. Раздел 2 «Сведения о расходах»</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Раздел 2 «Сведения о расходах» 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анализе источников средств, за счет которых приобретено имущество, указанное в разделе 2 «Сведения о расходах» справки, следует обратить внимание на следующие возможные источники получения дохода: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личные накопления семьи за предыдущие годы;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w:t>
      </w:r>
      <w:r>
        <w:rPr>
          <w:rFonts w:ascii="Helvetica" w:hAnsi="Helvetica" w:cs="Helvetica"/>
          <w:color w:val="333333"/>
          <w:sz w:val="21"/>
          <w:szCs w:val="21"/>
        </w:rPr>
        <w:lastRenderedPageBreak/>
        <w:t>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2.4. Раздел 3 «Сведения об имуществе»</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 проведении анализа данного раздела справки изучению подлежат сведения: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об адресе регистрации (местонахождении) объекта недвижимого имущества;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о площади (кв. м) (для объектов недвижимого имущества);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об основании приобретения (наименование и реквизиты документа, являющегося законным основанием для возникновения права собственности);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Pr>
          <w:rFonts w:ascii="Helvetica" w:hAnsi="Helvetica" w:cs="Helvetica"/>
          <w:color w:val="333333"/>
          <w:sz w:val="21"/>
          <w:szCs w:val="21"/>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Также следует обратить внимание на следующее.</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«Сведения о недвижимом имуществе, транспортных средствах и </w:t>
      </w:r>
      <w:r>
        <w:rPr>
          <w:rFonts w:ascii="Helvetica" w:hAnsi="Helvetica" w:cs="Helvetica"/>
          <w:color w:val="333333"/>
          <w:sz w:val="21"/>
          <w:szCs w:val="21"/>
        </w:rPr>
        <w:lastRenderedPageBreak/>
        <w:t>ценных бумагах, отчужденных в течение отчетного периода в результате безвозмездной сделки»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2.5. Раздел 4 «Сведения о счетах в банках и иных кредитных организациях»</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анализа представленные сведения сопоставляются с аналогичными сведениями справок предыдущих отчетных периодов (при их наличии).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К фактам, позволяющим сделать вывод о возможном совершении лицом коррупционного правонарушения, можно отнести следующие случаи.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2.6. Раздел 5 «Сведения о ценных бумагах»</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полное или сокращенное официальное наименование организации и ее организационно-правовой формы;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местонахождение организации (адрес);</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доля участия;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5) основания участия.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При анализе подраздела 5.2 «Иные ценные бумаги» справки следует обратить внимание на необходимость указания: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вида ценной бумаги;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лица, выпустившего ценную бумагу;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номинальной величины обязательства;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общего количества;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общей стоимости.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В случае наличия сомнений в достоверности отражения информации целесообразно запросить пояснения у лица, представившего сведения.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В случае,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ценных бумаг и долей участия в коммерческих организациях автоматически (по совокупности) подлежат декларированию в разделе 2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lastRenderedPageBreak/>
        <w:t>2.7. Раздел 6 «Сведения об обязательствах имущественного характера»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вида имущества;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вида и сроков пользования;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основания пользования;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местонахождения (адреса);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площади (кв. м).</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Pr>
          <w:rFonts w:ascii="Helvetica" w:hAnsi="Helvetica" w:cs="Helvetica"/>
          <w:color w:val="333333"/>
          <w:sz w:val="21"/>
          <w:szCs w:val="21"/>
        </w:rPr>
        <w:br/>
        <w:t>(за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запросить соответствующие пояснения.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При анализе подраздела 6.2 «Срочные обязательства финансового характера» справки следует обратить внимание на необходимость указания: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содержания обязательства;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кредитора (должника);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основания возникновения;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условий обязательства.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При анализе информации о кредиторе (должнике) и гарантиях и поручительствах необходимо удостовериться в отсутствии конфликта интересов.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существенного расхождения между этими показателями необходимо запросить пояснения.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При наличии кредита или займа, сумма которых значительно превышает годовой доход лица, супруги (супруга), необходимо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16"/>
          <w:szCs w:val="16"/>
          <w:vertAlign w:val="superscript"/>
        </w:rPr>
        <w:lastRenderedPageBreak/>
        <w:t>1 </w:t>
      </w:r>
      <w:r>
        <w:rPr>
          <w:rFonts w:ascii="Helvetica" w:hAnsi="Helvetica" w:cs="Helvetica"/>
          <w:color w:val="333333"/>
          <w:sz w:val="21"/>
          <w:szCs w:val="21"/>
        </w:rPr>
        <w:t>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16"/>
          <w:szCs w:val="16"/>
          <w:vertAlign w:val="superscript"/>
        </w:rPr>
        <w:t>2</w:t>
      </w:r>
      <w:r>
        <w:rPr>
          <w:rFonts w:ascii="Helvetica" w:hAnsi="Helvetica" w:cs="Helvetica"/>
          <w:color w:val="333333"/>
          <w:sz w:val="21"/>
          <w:szCs w:val="21"/>
        </w:rPr>
        <w:t> Подпункт «л» пункта 3 Указа Президента Российской Федерации</w:t>
      </w:r>
      <w:r>
        <w:rPr>
          <w:rFonts w:ascii="Helvetica" w:hAnsi="Helvetica" w:cs="Helvetica"/>
          <w:color w:val="333333"/>
          <w:sz w:val="21"/>
          <w:szCs w:val="21"/>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Пункт 1 статьи 10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w:t>
      </w:r>
      <w:r>
        <w:rPr>
          <w:rFonts w:ascii="Helvetica" w:hAnsi="Helvetica" w:cs="Helvetica"/>
          <w:color w:val="333333"/>
          <w:sz w:val="21"/>
          <w:szCs w:val="21"/>
        </w:rPr>
        <w:br/>
        <w:t>«О мерах по совершенствованию организации деятельности в области противодействия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526CB2" w:rsidRDefault="00526CB2" w:rsidP="00526CB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rsidR="00526CB2" w:rsidRDefault="00526CB2">
      <w:bookmarkStart w:id="0" w:name="_GoBack"/>
      <w:bookmarkEnd w:id="0"/>
    </w:p>
    <w:sectPr w:rsidR="00526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B2"/>
    <w:rsid w:val="0052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DEEDE-DC7F-4C2B-9DA9-D95CB9F2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6CB2"/>
    <w:rPr>
      <w:b/>
      <w:bCs/>
    </w:rPr>
  </w:style>
  <w:style w:type="character" w:styleId="a5">
    <w:name w:val="Emphasis"/>
    <w:basedOn w:val="a0"/>
    <w:uiPriority w:val="20"/>
    <w:qFormat/>
    <w:rsid w:val="00526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6975</Words>
  <Characters>39760</Characters>
  <Application>Microsoft Office Word</Application>
  <DocSecurity>0</DocSecurity>
  <Lines>331</Lines>
  <Paragraphs>93</Paragraphs>
  <ScaleCrop>false</ScaleCrop>
  <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2025-01-12T12:10:00Z</dcterms:created>
  <dcterms:modified xsi:type="dcterms:W3CDTF">2025-01-12T12:10:00Z</dcterms:modified>
</cp:coreProperties>
</file>