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7A" w:rsidRPr="00895A32" w:rsidRDefault="00AA1FFC" w:rsidP="006B4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Годовой отчет о ходе реализации и оценке эффективности</w:t>
      </w:r>
      <w:r w:rsidRPr="00895A32">
        <w:rPr>
          <w:b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льной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ы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  <w:u w:val="single"/>
        </w:rPr>
        <w:t>«Управление муниципальными финансами»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</w:t>
      </w:r>
      <w:r w:rsidRPr="00895A32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«Муйский район»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Отчетная дата</w:t>
      </w:r>
      <w:r w:rsidRPr="00895A32">
        <w:rPr>
          <w:rFonts w:ascii="Times New Roman" w:hAnsi="Times New Roman" w:cs="Times New Roman"/>
          <w:sz w:val="28"/>
          <w:szCs w:val="28"/>
        </w:rPr>
        <w:t>: 201</w:t>
      </w:r>
      <w:r w:rsidR="00CA48BC" w:rsidRPr="00895A32">
        <w:rPr>
          <w:rFonts w:ascii="Times New Roman" w:hAnsi="Times New Roman" w:cs="Times New Roman"/>
          <w:sz w:val="28"/>
          <w:szCs w:val="28"/>
        </w:rPr>
        <w:t xml:space="preserve">6 </w:t>
      </w:r>
      <w:r w:rsidRPr="00895A32">
        <w:rPr>
          <w:rFonts w:ascii="Times New Roman" w:hAnsi="Times New Roman" w:cs="Times New Roman"/>
          <w:sz w:val="28"/>
          <w:szCs w:val="28"/>
        </w:rPr>
        <w:t xml:space="preserve"> год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Дата составления отчета</w:t>
      </w:r>
      <w:r w:rsidRPr="00895A32">
        <w:rPr>
          <w:rFonts w:ascii="Times New Roman" w:hAnsi="Times New Roman" w:cs="Times New Roman"/>
          <w:sz w:val="28"/>
          <w:szCs w:val="28"/>
        </w:rPr>
        <w:t>:</w:t>
      </w:r>
      <w:r w:rsidR="00CA48BC" w:rsidRPr="00895A32">
        <w:rPr>
          <w:rFonts w:ascii="Times New Roman" w:hAnsi="Times New Roman" w:cs="Times New Roman"/>
          <w:sz w:val="28"/>
          <w:szCs w:val="28"/>
        </w:rPr>
        <w:t>01</w:t>
      </w:r>
      <w:r w:rsidRPr="00895A32">
        <w:rPr>
          <w:rFonts w:ascii="Times New Roman" w:hAnsi="Times New Roman" w:cs="Times New Roman"/>
          <w:sz w:val="28"/>
          <w:szCs w:val="28"/>
        </w:rPr>
        <w:t>.0</w:t>
      </w:r>
      <w:r w:rsidR="00CA48BC" w:rsidRPr="00895A32">
        <w:rPr>
          <w:rFonts w:ascii="Times New Roman" w:hAnsi="Times New Roman" w:cs="Times New Roman"/>
          <w:sz w:val="28"/>
          <w:szCs w:val="28"/>
        </w:rPr>
        <w:t>3</w:t>
      </w:r>
      <w:r w:rsidRPr="00895A32">
        <w:rPr>
          <w:rFonts w:ascii="Times New Roman" w:hAnsi="Times New Roman" w:cs="Times New Roman"/>
          <w:sz w:val="28"/>
          <w:szCs w:val="28"/>
        </w:rPr>
        <w:t>.201</w:t>
      </w:r>
      <w:r w:rsidR="00486235" w:rsidRPr="00895A32">
        <w:rPr>
          <w:rFonts w:ascii="Times New Roman" w:hAnsi="Times New Roman" w:cs="Times New Roman"/>
          <w:sz w:val="28"/>
          <w:szCs w:val="28"/>
        </w:rPr>
        <w:t>6</w:t>
      </w:r>
      <w:r w:rsidR="00565041" w:rsidRPr="00895A32">
        <w:rPr>
          <w:rFonts w:ascii="Times New Roman" w:hAnsi="Times New Roman" w:cs="Times New Roman"/>
          <w:sz w:val="28"/>
          <w:szCs w:val="28"/>
        </w:rPr>
        <w:t>;</w:t>
      </w:r>
      <w:r w:rsidRPr="0089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FC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ый</w:t>
      </w:r>
      <w:r w:rsidRPr="00895A32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ь</w:t>
      </w:r>
      <w:r w:rsidRPr="00895A32">
        <w:rPr>
          <w:rFonts w:ascii="Times New Roman" w:hAnsi="Times New Roman" w:cs="Times New Roman"/>
          <w:sz w:val="28"/>
          <w:szCs w:val="28"/>
        </w:rPr>
        <w:t xml:space="preserve">: </w:t>
      </w:r>
      <w:r w:rsidR="00AA1FFC" w:rsidRPr="00895A32">
        <w:rPr>
          <w:rFonts w:ascii="Times New Roman" w:hAnsi="Times New Roman" w:cs="Times New Roman"/>
          <w:sz w:val="28"/>
          <w:szCs w:val="28"/>
        </w:rPr>
        <w:t xml:space="preserve">Листунова Юлия Юрьевна </w:t>
      </w:r>
      <w:r w:rsidR="00486235" w:rsidRPr="00895A32">
        <w:rPr>
          <w:rFonts w:ascii="Times New Roman" w:hAnsi="Times New Roman" w:cs="Times New Roman"/>
          <w:sz w:val="28"/>
          <w:szCs w:val="28"/>
        </w:rPr>
        <w:t>–</w:t>
      </w:r>
      <w:r w:rsidR="00AA1FFC" w:rsidRPr="00895A32">
        <w:rPr>
          <w:rFonts w:ascii="Times New Roman" w:hAnsi="Times New Roman" w:cs="Times New Roman"/>
          <w:sz w:val="28"/>
          <w:szCs w:val="28"/>
        </w:rPr>
        <w:t xml:space="preserve"> </w:t>
      </w:r>
      <w:r w:rsidR="00486235" w:rsidRPr="00895A32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A2B8E" w:rsidRPr="00895A32">
        <w:rPr>
          <w:rFonts w:ascii="Times New Roman" w:hAnsi="Times New Roman" w:cs="Times New Roman"/>
          <w:sz w:val="28"/>
          <w:szCs w:val="28"/>
        </w:rPr>
        <w:t>специалист ФБО</w:t>
      </w:r>
      <w:r w:rsidR="00AA1FFC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A1FFC" w:rsidRPr="00895A32" w:rsidRDefault="00486235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Телефон: 55-4</w:t>
      </w:r>
      <w:r w:rsidR="00AA1FFC" w:rsidRPr="00895A32">
        <w:rPr>
          <w:rFonts w:ascii="Times New Roman" w:hAnsi="Times New Roman" w:cs="Times New Roman"/>
          <w:sz w:val="28"/>
          <w:szCs w:val="28"/>
        </w:rPr>
        <w:t>22;</w:t>
      </w:r>
    </w:p>
    <w:p w:rsidR="00AA1FFC" w:rsidRPr="00895A32" w:rsidRDefault="00AA1FFC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895A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finance@admmsk.ru</w:t>
      </w: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AD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 xml:space="preserve">                Начальник ФБО                                                  </w:t>
      </w:r>
      <w:r w:rsidR="00CA48BC" w:rsidRPr="00895A32">
        <w:rPr>
          <w:rFonts w:ascii="Times New Roman" w:hAnsi="Times New Roman" w:cs="Times New Roman"/>
          <w:sz w:val="28"/>
          <w:szCs w:val="28"/>
        </w:rPr>
        <w:t>Ульянова О.П.</w:t>
      </w: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B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34CBE">
        <w:rPr>
          <w:rFonts w:ascii="Times New Roman" w:hAnsi="Times New Roman" w:cs="Times New Roman"/>
          <w:sz w:val="28"/>
          <w:szCs w:val="28"/>
        </w:rPr>
        <w:t>Руководитель  администрации</w:t>
      </w:r>
      <w:proofErr w:type="gramEnd"/>
      <w:r w:rsidRPr="00D34CBE">
        <w:rPr>
          <w:rFonts w:ascii="Times New Roman" w:hAnsi="Times New Roman" w:cs="Times New Roman"/>
          <w:sz w:val="28"/>
          <w:szCs w:val="28"/>
        </w:rPr>
        <w:t xml:space="preserve">                                              А.И. Козлов</w:t>
      </w:r>
    </w:p>
    <w:p w:rsidR="00A5107A" w:rsidRDefault="00A5107A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49AD" w:rsidRDefault="006B49AD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9AD" w:rsidRPr="00895A32" w:rsidRDefault="006B49AD" w:rsidP="006B49A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71A5" w:rsidRPr="00895A32" w:rsidRDefault="00652B52" w:rsidP="006B49AD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895A32">
        <w:rPr>
          <w:rFonts w:ascii="Times New Roman" w:hAnsi="Times New Roman" w:cs="Times New Roman"/>
          <w:b/>
          <w:sz w:val="26"/>
          <w:szCs w:val="26"/>
        </w:rPr>
        <w:t>Программа</w:t>
      </w:r>
      <w:r w:rsidRPr="00895A32">
        <w:rPr>
          <w:rFonts w:ascii="Times New Roman" w:hAnsi="Times New Roman" w:cs="Times New Roman"/>
          <w:sz w:val="26"/>
          <w:szCs w:val="26"/>
        </w:rPr>
        <w:t xml:space="preserve"> «</w:t>
      </w:r>
      <w:r w:rsidR="0041274C" w:rsidRPr="00895A32">
        <w:rPr>
          <w:rFonts w:ascii="Times New Roman" w:hAnsi="Times New Roman" w:cs="Times New Roman"/>
          <w:b/>
          <w:sz w:val="26"/>
          <w:szCs w:val="26"/>
        </w:rPr>
        <w:t>Управ</w:t>
      </w:r>
      <w:r w:rsidR="003871A5" w:rsidRPr="00895A32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</w:t>
      </w:r>
      <w:r w:rsidRPr="00895A32">
        <w:rPr>
          <w:rFonts w:ascii="Times New Roman" w:hAnsi="Times New Roman" w:cs="Times New Roman"/>
          <w:b/>
          <w:sz w:val="26"/>
          <w:szCs w:val="26"/>
        </w:rPr>
        <w:t>»</w:t>
      </w:r>
      <w:r w:rsidR="00DD2BEC" w:rsidRPr="00895A32">
        <w:rPr>
          <w:rFonts w:ascii="Times New Roman" w:hAnsi="Times New Roman" w:cs="Times New Roman"/>
          <w:b/>
          <w:sz w:val="26"/>
          <w:szCs w:val="26"/>
        </w:rPr>
        <w:t>.</w:t>
      </w:r>
    </w:p>
    <w:p w:rsidR="00394D3A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Финансирование программы на 201</w:t>
      </w:r>
      <w:r w:rsidR="00CA48BC" w:rsidRPr="00895A32">
        <w:rPr>
          <w:rFonts w:ascii="Times New Roman" w:hAnsi="Times New Roman" w:cs="Times New Roman"/>
          <w:sz w:val="24"/>
          <w:szCs w:val="24"/>
        </w:rPr>
        <w:t>6</w:t>
      </w:r>
      <w:r w:rsidRPr="00895A32">
        <w:rPr>
          <w:rFonts w:ascii="Times New Roman" w:hAnsi="Times New Roman" w:cs="Times New Roman"/>
          <w:sz w:val="24"/>
          <w:szCs w:val="24"/>
        </w:rPr>
        <w:t xml:space="preserve"> год  было запланировано в объеме  </w:t>
      </w:r>
      <w:r w:rsidR="00CA48BC" w:rsidRPr="00895A32">
        <w:rPr>
          <w:rFonts w:ascii="Times New Roman" w:hAnsi="Times New Roman" w:cs="Times New Roman"/>
          <w:sz w:val="24"/>
          <w:szCs w:val="24"/>
        </w:rPr>
        <w:t>52 031,63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CA48BC" w:rsidRPr="00895A32">
        <w:rPr>
          <w:rFonts w:ascii="Times New Roman" w:hAnsi="Times New Roman" w:cs="Times New Roman"/>
          <w:sz w:val="24"/>
          <w:szCs w:val="24"/>
        </w:rPr>
        <w:t>48 473,45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 из них:</w:t>
      </w:r>
    </w:p>
    <w:p w:rsidR="003871A5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34,4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Федерального бюджета;</w:t>
      </w:r>
    </w:p>
    <w:p w:rsidR="003871A5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30 278,91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Республиканского бюджета;</w:t>
      </w:r>
    </w:p>
    <w:p w:rsidR="00C12A32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18 160,14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Местного бюджета.</w:t>
      </w:r>
    </w:p>
    <w:p w:rsidR="003871A5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A32">
        <w:rPr>
          <w:rFonts w:ascii="Times New Roman" w:hAnsi="Times New Roman" w:cs="Times New Roman"/>
          <w:b/>
          <w:bCs/>
          <w:sz w:val="24"/>
          <w:szCs w:val="24"/>
        </w:rPr>
        <w:t>Результаты реализации муниципальной программы, достигнутые за отчетный период</w:t>
      </w:r>
    </w:p>
    <w:p w:rsidR="00591B5B" w:rsidRPr="00895A32" w:rsidRDefault="00591B5B" w:rsidP="006B49AD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В рамках реализации установленных целей муниципальной программы (обеспечение долгосрочной сбалансированности и устойчивости бюджета муниципального образования «Муйский район», повышение качества управления муниципальными финансами)</w:t>
      </w:r>
      <w:r w:rsidR="00D84AC0" w:rsidRPr="00895A32">
        <w:rPr>
          <w:rFonts w:ascii="Times New Roman" w:hAnsi="Times New Roman" w:cs="Times New Roman"/>
          <w:bCs/>
          <w:sz w:val="24"/>
          <w:szCs w:val="24"/>
        </w:rPr>
        <w:t>, в отчетном периоде решались следующие задачи: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эффективного использования средств бюджета муниципального образования «Муйский район»; 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управления  муниципальными финансами в поселениях муниципального образования «Муйский район»;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эффективное управление муниципальным долгом  муниципального образования «Муйский район».</w:t>
      </w:r>
    </w:p>
    <w:p w:rsidR="00D84AC0" w:rsidRPr="00895A32" w:rsidRDefault="00D84AC0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Сроки окончания реализации основных мероприятий муниципальной программы установлены до 2020 года, что объясняется  длительным характером процесса реализации основных мероприятий.</w:t>
      </w:r>
    </w:p>
    <w:p w:rsidR="004A3C66" w:rsidRPr="00895A32" w:rsidRDefault="004A3C66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Из общих результатов реализации программы следует отметить следующие:</w:t>
      </w:r>
    </w:p>
    <w:p w:rsidR="004A3C66" w:rsidRPr="00895A32" w:rsidRDefault="004A3C66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бюджета муниципального образования;</w:t>
      </w:r>
    </w:p>
    <w:p w:rsidR="00BC5A90" w:rsidRPr="00895A32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вес расходов бюджета муниципального образования за 201</w:t>
      </w:r>
      <w:r w:rsidR="00BD67CA"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формируемых</w:t>
      </w:r>
      <w:r w:rsidR="00D61DD4"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 составил </w:t>
      </w:r>
      <w:r w:rsidR="00BD67CA"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>94,9</w:t>
      </w:r>
      <w:r w:rsidR="002C240E"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89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5794" w:rsidRPr="00895A32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В рамках достижения цели обеспечения сбалансированности и устойчивости бюджета муниципального образования, было принято</w:t>
      </w:r>
      <w:r w:rsidR="00BC5A90" w:rsidRPr="00895A32">
        <w:rPr>
          <w:rFonts w:ascii="Times New Roman" w:hAnsi="Times New Roman" w:cs="Times New Roman"/>
          <w:sz w:val="24"/>
          <w:szCs w:val="24"/>
        </w:rPr>
        <w:t xml:space="preserve"> решение сессии Совета </w:t>
      </w:r>
      <w:r w:rsidRPr="00895A32">
        <w:rPr>
          <w:rFonts w:ascii="Times New Roman" w:hAnsi="Times New Roman" w:cs="Times New Roman"/>
          <w:sz w:val="24"/>
          <w:szCs w:val="24"/>
        </w:rPr>
        <w:t>депутатов МО «Муйский район» от 2</w:t>
      </w:r>
      <w:r w:rsidR="00D61DD4" w:rsidRPr="00895A32">
        <w:rPr>
          <w:rFonts w:ascii="Times New Roman" w:hAnsi="Times New Roman" w:cs="Times New Roman"/>
          <w:sz w:val="24"/>
          <w:szCs w:val="24"/>
        </w:rPr>
        <w:t>8</w:t>
      </w:r>
      <w:r w:rsidRPr="00895A32">
        <w:rPr>
          <w:rFonts w:ascii="Times New Roman" w:hAnsi="Times New Roman" w:cs="Times New Roman"/>
          <w:sz w:val="24"/>
          <w:szCs w:val="24"/>
        </w:rPr>
        <w:t>.12.201</w:t>
      </w:r>
      <w:r w:rsidR="00BD67CA" w:rsidRPr="00895A32">
        <w:rPr>
          <w:rFonts w:ascii="Times New Roman" w:hAnsi="Times New Roman" w:cs="Times New Roman"/>
          <w:sz w:val="24"/>
          <w:szCs w:val="24"/>
        </w:rPr>
        <w:t>6</w:t>
      </w:r>
      <w:r w:rsidR="00D61DD4" w:rsidRPr="00895A3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D67CA" w:rsidRPr="00895A32">
        <w:rPr>
          <w:rFonts w:ascii="Times New Roman" w:hAnsi="Times New Roman" w:cs="Times New Roman"/>
          <w:sz w:val="24"/>
          <w:szCs w:val="24"/>
        </w:rPr>
        <w:t>768</w:t>
      </w:r>
      <w:r w:rsidRPr="00895A32">
        <w:rPr>
          <w:rFonts w:ascii="Times New Roman" w:hAnsi="Times New Roman" w:cs="Times New Roman"/>
          <w:sz w:val="24"/>
          <w:szCs w:val="24"/>
        </w:rPr>
        <w:t xml:space="preserve">  "О бюджете </w:t>
      </w:r>
      <w:r w:rsidR="00BC5A90" w:rsidRPr="00895A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"Муйский район"  </w:t>
      </w:r>
      <w:r w:rsidR="00D61DD4" w:rsidRPr="00895A32">
        <w:rPr>
          <w:rFonts w:ascii="Times New Roman" w:hAnsi="Times New Roman" w:cs="Times New Roman"/>
          <w:sz w:val="24"/>
          <w:szCs w:val="24"/>
        </w:rPr>
        <w:t>на 201</w:t>
      </w:r>
      <w:r w:rsidR="00BD67CA" w:rsidRPr="00895A32">
        <w:rPr>
          <w:rFonts w:ascii="Times New Roman" w:hAnsi="Times New Roman" w:cs="Times New Roman"/>
          <w:sz w:val="24"/>
          <w:szCs w:val="24"/>
        </w:rPr>
        <w:t>7</w:t>
      </w:r>
      <w:r w:rsidR="00D61DD4" w:rsidRPr="00895A32">
        <w:rPr>
          <w:rFonts w:ascii="Times New Roman" w:hAnsi="Times New Roman" w:cs="Times New Roman"/>
          <w:sz w:val="24"/>
          <w:szCs w:val="24"/>
        </w:rPr>
        <w:t xml:space="preserve"> год </w:t>
      </w:r>
      <w:r w:rsidR="00BD67CA" w:rsidRPr="00895A32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BC5A90" w:rsidRPr="00895A32">
        <w:rPr>
          <w:rFonts w:ascii="Times New Roman" w:hAnsi="Times New Roman" w:cs="Times New Roman"/>
          <w:sz w:val="24"/>
          <w:szCs w:val="24"/>
        </w:rPr>
        <w:t>".</w:t>
      </w:r>
    </w:p>
    <w:p w:rsidR="003871A5" w:rsidRPr="00895A32" w:rsidRDefault="00D649EE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hyperlink w:anchor="Par851" w:history="1">
        <w:r w:rsidR="003871A5" w:rsidRPr="00895A32">
          <w:rPr>
            <w:rFonts w:ascii="Times New Roman" w:hAnsi="Times New Roman" w:cs="Times New Roman"/>
            <w:b/>
            <w:bCs/>
            <w:sz w:val="24"/>
            <w:szCs w:val="24"/>
          </w:rPr>
          <w:t>Подпрограмма 1</w:t>
        </w:r>
      </w:hyperlink>
      <w:r w:rsidR="003871A5"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. Повышение эффективности бюджетных расходов </w:t>
      </w:r>
    </w:p>
    <w:p w:rsidR="003871A5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Целью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является о</w:t>
      </w:r>
      <w:r w:rsidR="003871A5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условий для эффективного использования средств бюджета  муниципального образования «Муйский район»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44CB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решения задачи по совершенствованию бюджетного процесса достигнут</w:t>
      </w:r>
      <w:r w:rsidR="002944CB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ы следующие основные результаты</w:t>
      </w:r>
      <w:r w:rsidR="002944CB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4CB" w:rsidRPr="00895A32" w:rsidRDefault="002944CB" w:rsidP="006B49A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Своевременное исполнение расходных обязательств МО «Муйский район»;</w:t>
      </w:r>
    </w:p>
    <w:p w:rsidR="00FC3269" w:rsidRPr="00895A32" w:rsidRDefault="00FC3269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внедрения программно-целевых принципов формирования бюджета достигнуты следующие результаты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2E1F" w:rsidRPr="00895A32" w:rsidRDefault="00E351E5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удельный вес расходов бюджета муниципального образования, формируемых в рамках муниципальных программ составил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94,9</w:t>
      </w:r>
      <w:r w:rsidR="00DA6C0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%;</w:t>
      </w:r>
    </w:p>
    <w:p w:rsidR="008839E0" w:rsidRPr="00895A32" w:rsidRDefault="00653851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Прозрачность и открытость бюджета, поддерживается на высоком уровне. Проводятся публичные слушания, решения сессий депутатов 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публикуются в СМИ и размещаются на официальном сайте администрации МО «Муйский район», также регулярно обновляется информация на сайтах bus.gov.ru,</w:t>
      </w:r>
      <w:r w:rsidR="006A2E1F" w:rsidRPr="00895A32">
        <w:rPr>
          <w:sz w:val="24"/>
          <w:szCs w:val="24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www.admmsk.ru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67CA" w:rsidRPr="00895A32" w:rsidRDefault="00BD67CA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повышения качества финансового менеджмента главных распорядителей бюджетных средств:</w:t>
      </w:r>
    </w:p>
    <w:p w:rsidR="00BD67CA" w:rsidRPr="00895A32" w:rsidRDefault="00BD67CA" w:rsidP="006B49A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финансово-бюджетным отделом проводится мониторинг качества финансового менеджмента главных распорядителей </w:t>
      </w:r>
      <w:r w:rsidR="00B7038C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средств. По результатам мониторинга в 2015 году</w:t>
      </w:r>
      <w:r w:rsidR="0093237D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всех ГРБС высокий уровень финансового менеджмента. Лидером мониторинга </w:t>
      </w:r>
      <w:r w:rsidR="00D53D4C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Районное управление образования.</w:t>
      </w:r>
    </w:p>
    <w:p w:rsidR="00945CEB" w:rsidRPr="00895A32" w:rsidRDefault="00945CEB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 xml:space="preserve">В рамках задачи 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усиление взаимосвязи бюджетного процесса с процедурами планирования закупок товаров, работ и услуг для нужд муниципального образования</w:t>
      </w:r>
      <w:r w:rsidR="000D2B73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достигнуты следующие результаты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D61DD4" w:rsidRPr="00895A32" w:rsidRDefault="002B1B0A" w:rsidP="006B49A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В 2016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общая сумма</w:t>
      </w:r>
      <w:r w:rsidR="000D2B7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заявленных на торги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закупок товаров, работ, услуг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составила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26 579,34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664ABE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 итогам проведения торгов сумма заключенных контрактов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22885,28</w:t>
      </w:r>
      <w:r w:rsidR="000D2B7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  <w:r w:rsidR="00664ABE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</w:t>
      </w:r>
      <w:r w:rsidR="000D2B7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бюджетных средств </w:t>
      </w:r>
      <w:r w:rsidR="00664ABE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3694,06</w:t>
      </w:r>
      <w:r w:rsidR="000D2B7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13,9</w:t>
      </w:r>
      <w:r w:rsidR="000D2B7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от общего объема заявленных на торги средств.</w:t>
      </w:r>
    </w:p>
    <w:p w:rsidR="00D75040" w:rsidRPr="00895A32" w:rsidRDefault="00B57445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К не достигнутым </w:t>
      </w:r>
      <w:r w:rsidR="0009321B" w:rsidRPr="00895A32">
        <w:rPr>
          <w:rFonts w:ascii="Times New Roman" w:hAnsi="Times New Roman" w:cs="Times New Roman"/>
          <w:sz w:val="24"/>
          <w:szCs w:val="24"/>
        </w:rPr>
        <w:t xml:space="preserve">результатам можно отнести недостаточную автоматизацию сбора отчетности от муниципальных образований поселений и ГРБС по планированию и исполнению бюджета. </w:t>
      </w:r>
      <w:r w:rsidR="0067600F" w:rsidRPr="00895A32">
        <w:rPr>
          <w:rFonts w:ascii="Times New Roman" w:hAnsi="Times New Roman" w:cs="Times New Roman"/>
          <w:sz w:val="24"/>
          <w:szCs w:val="24"/>
        </w:rPr>
        <w:t>Это связано с тем, что на данное мероприятие не было з</w:t>
      </w:r>
      <w:r w:rsidR="00C12A32" w:rsidRPr="00895A32">
        <w:rPr>
          <w:rFonts w:ascii="Times New Roman" w:hAnsi="Times New Roman" w:cs="Times New Roman"/>
          <w:sz w:val="24"/>
          <w:szCs w:val="24"/>
        </w:rPr>
        <w:t>аложено бюджетных ассигнований.</w:t>
      </w:r>
    </w:p>
    <w:p w:rsidR="00FC3269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2. Совершенствование межбюджетных отношений</w:t>
      </w:r>
    </w:p>
    <w:p w:rsidR="00C84294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Целью подпрограммы является создание условий для повышения качества управления муниципальными финансами</w:t>
      </w:r>
      <w:r w:rsidR="00447B51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 «Муйский район».</w:t>
      </w:r>
    </w:p>
    <w:p w:rsidR="00F51542" w:rsidRPr="00895A32" w:rsidRDefault="00135AE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920F8" w:rsidRPr="00895A32">
        <w:rPr>
          <w:rFonts w:ascii="Times New Roman" w:hAnsi="Times New Roman" w:cs="Times New Roman"/>
          <w:sz w:val="24"/>
          <w:szCs w:val="24"/>
        </w:rPr>
        <w:t>бюджетам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поселений была 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предоставлена дотация</w:t>
      </w:r>
      <w:r w:rsidR="00DC7934" w:rsidRPr="00895A32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4409C7" w:rsidRPr="00895A32">
        <w:rPr>
          <w:rFonts w:ascii="Times New Roman" w:hAnsi="Times New Roman" w:cs="Times New Roman"/>
          <w:sz w:val="24"/>
          <w:szCs w:val="24"/>
        </w:rPr>
        <w:t>4 345,8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2B73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0920F8" w:rsidRPr="00895A32">
        <w:rPr>
          <w:rFonts w:ascii="Times New Roman" w:hAnsi="Times New Roman" w:cs="Times New Roman"/>
          <w:sz w:val="24"/>
          <w:szCs w:val="24"/>
        </w:rPr>
        <w:t>руб</w:t>
      </w:r>
      <w:r w:rsidR="000D2B73" w:rsidRPr="00895A32">
        <w:rPr>
          <w:rFonts w:ascii="Times New Roman" w:hAnsi="Times New Roman" w:cs="Times New Roman"/>
          <w:sz w:val="24"/>
          <w:szCs w:val="24"/>
        </w:rPr>
        <w:t>лей</w:t>
      </w:r>
      <w:r w:rsidR="000920F8" w:rsidRPr="00895A32">
        <w:rPr>
          <w:rFonts w:ascii="Times New Roman" w:hAnsi="Times New Roman" w:cs="Times New Roman"/>
          <w:sz w:val="24"/>
          <w:szCs w:val="24"/>
        </w:rPr>
        <w:t>.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Доля иных межбюджетных трансфертов составляет </w:t>
      </w:r>
      <w:r w:rsidR="004409C7" w:rsidRPr="00895A32">
        <w:rPr>
          <w:rFonts w:ascii="Times New Roman" w:hAnsi="Times New Roman" w:cs="Times New Roman"/>
          <w:sz w:val="24"/>
          <w:szCs w:val="24"/>
        </w:rPr>
        <w:t>92,9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% от </w:t>
      </w:r>
      <w:r w:rsidR="00C073AA" w:rsidRPr="00895A32">
        <w:rPr>
          <w:rFonts w:ascii="Times New Roman" w:hAnsi="Times New Roman" w:cs="Times New Roman"/>
          <w:sz w:val="24"/>
          <w:szCs w:val="24"/>
        </w:rPr>
        <w:t xml:space="preserve">фактического исполнения или </w:t>
      </w:r>
      <w:r w:rsidR="004409C7" w:rsidRPr="00895A32">
        <w:rPr>
          <w:rFonts w:ascii="Times New Roman" w:hAnsi="Times New Roman" w:cs="Times New Roman"/>
          <w:sz w:val="24"/>
          <w:szCs w:val="24"/>
        </w:rPr>
        <w:t>57 336,45</w:t>
      </w:r>
      <w:r w:rsidR="00C073AA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C073AA" w:rsidRPr="00895A32">
        <w:rPr>
          <w:rFonts w:ascii="Times New Roman" w:hAnsi="Times New Roman" w:cs="Times New Roman"/>
          <w:sz w:val="24"/>
          <w:szCs w:val="24"/>
        </w:rPr>
        <w:t>рублей.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Наибольший</w:t>
      </w:r>
      <w:r w:rsidR="000E52A0" w:rsidRPr="00895A32">
        <w:rPr>
          <w:rFonts w:ascii="Times New Roman" w:hAnsi="Times New Roman" w:cs="Times New Roman"/>
          <w:sz w:val="24"/>
          <w:szCs w:val="24"/>
        </w:rPr>
        <w:t xml:space="preserve"> объем иных межбюджетных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E52A0" w:rsidRPr="00895A32">
        <w:rPr>
          <w:rFonts w:ascii="Times New Roman" w:hAnsi="Times New Roman" w:cs="Times New Roman"/>
          <w:sz w:val="24"/>
          <w:szCs w:val="24"/>
        </w:rPr>
        <w:t>ов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был предоставлен МО ГП «</w:t>
      </w:r>
      <w:proofErr w:type="spellStart"/>
      <w:r w:rsidR="000C7212" w:rsidRPr="00895A32">
        <w:rPr>
          <w:rFonts w:ascii="Times New Roman" w:hAnsi="Times New Roman" w:cs="Times New Roman"/>
          <w:sz w:val="24"/>
          <w:szCs w:val="24"/>
        </w:rPr>
        <w:t>Северомуйское</w:t>
      </w:r>
      <w:proofErr w:type="spellEnd"/>
      <w:r w:rsidR="008127C2" w:rsidRPr="00895A32">
        <w:rPr>
          <w:rFonts w:ascii="Times New Roman" w:hAnsi="Times New Roman" w:cs="Times New Roman"/>
          <w:sz w:val="24"/>
          <w:szCs w:val="24"/>
        </w:rPr>
        <w:t xml:space="preserve">» в </w:t>
      </w:r>
      <w:r w:rsidR="000E52A0" w:rsidRPr="00895A32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C7212" w:rsidRPr="00895A32">
        <w:rPr>
          <w:rFonts w:ascii="Times New Roman" w:hAnsi="Times New Roman" w:cs="Times New Roman"/>
          <w:sz w:val="24"/>
          <w:szCs w:val="24"/>
        </w:rPr>
        <w:t>34 407,85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sz w:val="24"/>
          <w:szCs w:val="24"/>
        </w:rPr>
        <w:t>рублей. МО ГП «</w:t>
      </w:r>
      <w:r w:rsidR="000C7212" w:rsidRPr="00895A32">
        <w:rPr>
          <w:rFonts w:ascii="Times New Roman" w:hAnsi="Times New Roman" w:cs="Times New Roman"/>
          <w:sz w:val="24"/>
          <w:szCs w:val="24"/>
        </w:rPr>
        <w:t>Поселок Таксимо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» и МО СП «Муйская сельская администрация» было получено </w:t>
      </w:r>
      <w:r w:rsidR="000C7212" w:rsidRPr="00895A32">
        <w:rPr>
          <w:rFonts w:ascii="Times New Roman" w:hAnsi="Times New Roman" w:cs="Times New Roman"/>
          <w:sz w:val="24"/>
          <w:szCs w:val="24"/>
        </w:rPr>
        <w:t>21 126,59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0C7212" w:rsidRPr="00895A32">
        <w:rPr>
          <w:rFonts w:ascii="Times New Roman" w:hAnsi="Times New Roman" w:cs="Times New Roman"/>
          <w:sz w:val="24"/>
          <w:szCs w:val="24"/>
        </w:rPr>
        <w:t>6 147,82</w:t>
      </w:r>
      <w:r w:rsidR="008127C2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sz w:val="24"/>
          <w:szCs w:val="24"/>
        </w:rPr>
        <w:t>рублей соответственно.</w:t>
      </w:r>
      <w:r w:rsidRPr="00895A32">
        <w:rPr>
          <w:rFonts w:ascii="Times New Roman" w:hAnsi="Times New Roman" w:cs="Times New Roman"/>
          <w:sz w:val="24"/>
          <w:szCs w:val="24"/>
        </w:rPr>
        <w:t xml:space="preserve"> На основании принятых мер </w:t>
      </w:r>
      <w:r w:rsidR="0086501E" w:rsidRPr="00895A32">
        <w:rPr>
          <w:rFonts w:ascii="Times New Roman" w:hAnsi="Times New Roman" w:cs="Times New Roman"/>
          <w:sz w:val="24"/>
          <w:szCs w:val="24"/>
        </w:rPr>
        <w:t>был</w:t>
      </w:r>
      <w:r w:rsidRPr="00895A32">
        <w:rPr>
          <w:rFonts w:ascii="Times New Roman" w:hAnsi="Times New Roman" w:cs="Times New Roman"/>
          <w:sz w:val="24"/>
          <w:szCs w:val="24"/>
        </w:rPr>
        <w:t xml:space="preserve"> достигнут ожидаемый результат</w:t>
      </w:r>
      <w:r w:rsidR="0086501E" w:rsidRPr="00895A32">
        <w:rPr>
          <w:rFonts w:ascii="Times New Roman" w:hAnsi="Times New Roman" w:cs="Times New Roman"/>
          <w:sz w:val="24"/>
          <w:szCs w:val="24"/>
        </w:rPr>
        <w:t>,</w:t>
      </w:r>
      <w:r w:rsidRPr="00895A32">
        <w:rPr>
          <w:rFonts w:ascii="Times New Roman" w:hAnsi="Times New Roman" w:cs="Times New Roman"/>
          <w:sz w:val="24"/>
          <w:szCs w:val="24"/>
        </w:rPr>
        <w:t xml:space="preserve"> отсутствие просроченной кредиторской задолженности местных бюджетов.</w:t>
      </w:r>
    </w:p>
    <w:p w:rsidR="00DE23D0" w:rsidRPr="00895A32" w:rsidRDefault="000E52A0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В ходе выполнения мероприятия 2</w:t>
      </w:r>
      <w:r w:rsidR="007617EF" w:rsidRPr="00895A32">
        <w:rPr>
          <w:rFonts w:ascii="Times New Roman" w:hAnsi="Times New Roman" w:cs="Times New Roman"/>
          <w:sz w:val="24"/>
          <w:szCs w:val="24"/>
        </w:rPr>
        <w:t xml:space="preserve">.1 «Обеспечение контроля за исполнением нормативов формирования расходов на содержание органов местного самоуправления» достигнут следующий результат: </w:t>
      </w:r>
      <w:r w:rsidR="00DE23D0" w:rsidRPr="00895A32">
        <w:rPr>
          <w:rFonts w:ascii="Times New Roman" w:hAnsi="Times New Roman" w:cs="Times New Roman"/>
          <w:sz w:val="24"/>
          <w:szCs w:val="24"/>
        </w:rPr>
        <w:t>муниципальные образования поселений не нарушили предельные нормативы формирования расходов на содержание органов местного самоуправления.</w:t>
      </w:r>
    </w:p>
    <w:p w:rsidR="00A72EC2" w:rsidRPr="00895A32" w:rsidRDefault="00584A55" w:rsidP="006B49A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F51542" w:rsidRPr="00895A32">
        <w:rPr>
          <w:rFonts w:ascii="Times New Roman" w:hAnsi="Times New Roman" w:cs="Times New Roman"/>
          <w:b/>
          <w:sz w:val="24"/>
          <w:szCs w:val="24"/>
        </w:rPr>
        <w:t>Подпрограмма 3. Управление муниципальным долгом</w:t>
      </w:r>
      <w:r w:rsidR="00135AE3" w:rsidRPr="0089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E1F" w:rsidRPr="00895A32" w:rsidRDefault="00896E6E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По подпрограмме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bCs/>
          <w:sz w:val="24"/>
          <w:szCs w:val="24"/>
        </w:rPr>
        <w:t xml:space="preserve">«Управление муниципальным долгом» 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затрачено 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392,01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, исполнение от плана составило 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100</w:t>
      </w:r>
      <w:r w:rsidRPr="00895A32">
        <w:rPr>
          <w:rFonts w:ascii="Times New Roman" w:hAnsi="Times New Roman" w:cs="Times New Roman"/>
          <w:bCs/>
          <w:sz w:val="24"/>
          <w:szCs w:val="24"/>
        </w:rPr>
        <w:t>%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. По данной подпрограмме </w:t>
      </w:r>
      <w:r w:rsidR="000A09D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муниципального долга</w:t>
      </w:r>
      <w:r w:rsidR="008839E0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проходило своевременно и в полном объеме без образования просроченной задолженности, тем самым был, достигнут ожидаемый результат.</w:t>
      </w:r>
    </w:p>
    <w:p w:rsidR="004D6304" w:rsidRPr="00895A32" w:rsidRDefault="004D630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2B4" w:rsidRPr="00895A32" w:rsidRDefault="00EC42B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программы</w:t>
      </w:r>
    </w:p>
    <w:p w:rsidR="00EC42B4" w:rsidRPr="00D649EE" w:rsidRDefault="00C84294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эффективности программы высокий</w:t>
      </w:r>
      <w:r w:rsidR="00EC42B4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процент исполнения выше запланированно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уровня, 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исполнение 100 %,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ниже планируемых </w:t>
      </w:r>
      <w:r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значений</w:t>
      </w:r>
      <w:r w:rsidR="00D649EE"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По итогам проведения оценки эффективности </w:t>
      </w:r>
      <w:r w:rsidR="00D649EE">
        <w:rPr>
          <w:rFonts w:ascii="Times New Roman" w:hAnsi="Times New Roman" w:cs="Times New Roman"/>
          <w:sz w:val="23"/>
          <w:szCs w:val="23"/>
        </w:rPr>
        <w:t xml:space="preserve">реализации </w:t>
      </w:r>
      <w:proofErr w:type="gramStart"/>
      <w:r w:rsidR="00D649EE">
        <w:rPr>
          <w:rFonts w:ascii="Times New Roman" w:hAnsi="Times New Roman" w:cs="Times New Roman"/>
          <w:sz w:val="23"/>
          <w:szCs w:val="23"/>
        </w:rPr>
        <w:t xml:space="preserve">Программы </w:t>
      </w:r>
      <w:bookmarkStart w:id="0" w:name="_GoBack"/>
      <w:bookmarkEnd w:id="0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уровень</w:t>
      </w:r>
      <w:proofErr w:type="gramEnd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качественной оценки эффективности – высокий.</w:t>
      </w:r>
      <w:bookmarkStart w:id="1" w:name="_Toc230434851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 </w:t>
      </w:r>
      <w:bookmarkEnd w:id="1"/>
    </w:p>
    <w:p w:rsidR="006A2E1F" w:rsidRPr="00895A32" w:rsidRDefault="006A2E1F" w:rsidP="006B49AD">
      <w:pPr>
        <w:pStyle w:val="a3"/>
        <w:jc w:val="both"/>
        <w:rPr>
          <w:rFonts w:ascii="Times New Roman" w:hAnsi="Times New Roman" w:cs="Times New Roman"/>
        </w:rPr>
      </w:pPr>
    </w:p>
    <w:p w:rsidR="006A2E1F" w:rsidRPr="00895A32" w:rsidRDefault="009A7176" w:rsidP="006B49A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Ресурсное обеспечение программы «Управление муниципальными финансами»</w:t>
      </w:r>
    </w:p>
    <w:p w:rsidR="0041274C" w:rsidRPr="00895A32" w:rsidRDefault="00735361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«Совершенствование межбюджетных отношений»</w:t>
      </w:r>
    </w:p>
    <w:tbl>
      <w:tblPr>
        <w:tblW w:w="1063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3"/>
        <w:gridCol w:w="927"/>
        <w:gridCol w:w="992"/>
        <w:gridCol w:w="993"/>
        <w:gridCol w:w="1275"/>
        <w:gridCol w:w="2552"/>
      </w:tblGrid>
      <w:tr w:rsidR="00735361" w:rsidRPr="00895A32" w:rsidTr="000C7212">
        <w:trPr>
          <w:trHeight w:val="154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95A32">
              <w:rPr>
                <w:sz w:val="20"/>
                <w:szCs w:val="20"/>
              </w:rPr>
              <w:t>Ед.изм</w:t>
            </w:r>
            <w:proofErr w:type="spellEnd"/>
            <w:r w:rsidRPr="00895A32">
              <w:rPr>
                <w:sz w:val="20"/>
                <w:szCs w:val="20"/>
              </w:rPr>
              <w:t>.</w:t>
            </w:r>
          </w:p>
          <w:p w:rsidR="00735361" w:rsidRPr="00895A32" w:rsidRDefault="00735361" w:rsidP="006B49AD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95A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5361" w:rsidRPr="00895A32" w:rsidTr="009C38B8">
        <w:trPr>
          <w:trHeight w:val="200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35361" w:rsidRPr="00895A32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35361" w:rsidRPr="00895A32" w:rsidTr="000C7212">
        <w:trPr>
          <w:trHeight w:val="12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735361" w:rsidRPr="00895A32" w:rsidTr="009C38B8">
        <w:trPr>
          <w:trHeight w:val="22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C7212" w:rsidP="006B49AD">
            <w:pPr>
              <w:pStyle w:val="ConsPlusCell"/>
              <w:rPr>
                <w:sz w:val="24"/>
                <w:szCs w:val="24"/>
              </w:rPr>
            </w:pPr>
            <w:r w:rsidRPr="00895A32">
              <w:rPr>
                <w:sz w:val="24"/>
                <w:szCs w:val="24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4 345,8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4345,8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8127C2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местных бюджетов</w:t>
            </w:r>
          </w:p>
        </w:tc>
      </w:tr>
      <w:tr w:rsidR="00735361" w:rsidRPr="00895A32" w:rsidTr="009C38B8">
        <w:trPr>
          <w:trHeight w:val="125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9C38B8">
        <w:trPr>
          <w:trHeight w:val="194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1C01C9">
        <w:trPr>
          <w:trHeight w:val="507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4 307,8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4 307,8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0F6BE7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0C7212" w:rsidRPr="00895A32" w:rsidTr="001C01C9">
        <w:trPr>
          <w:trHeight w:val="39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1C01C9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4D6304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47 293,81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4D6304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43 735,64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4D6304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местных бюджетов</w:t>
            </w: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33 799,09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30 240,9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84,47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13 460,32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13 460,32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3C66" w:rsidRPr="00895A32" w:rsidRDefault="004A3C66" w:rsidP="006B49AD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735361" w:rsidRPr="00895A32" w:rsidRDefault="00C76ADA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«Управление муниципальным долгом»</w:t>
      </w:r>
    </w:p>
    <w:tbl>
      <w:tblPr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992"/>
        <w:gridCol w:w="850"/>
        <w:gridCol w:w="851"/>
        <w:gridCol w:w="3827"/>
      </w:tblGrid>
      <w:tr w:rsidR="00C76ADA" w:rsidRPr="00895A32" w:rsidTr="000F6BE7">
        <w:trPr>
          <w:trHeight w:val="154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95A32">
              <w:rPr>
                <w:sz w:val="20"/>
                <w:szCs w:val="20"/>
              </w:rPr>
              <w:t>Ед.изм</w:t>
            </w:r>
            <w:proofErr w:type="spellEnd"/>
            <w:r w:rsidRPr="00895A32">
              <w:rPr>
                <w:sz w:val="20"/>
                <w:szCs w:val="20"/>
              </w:rPr>
              <w:t>.</w:t>
            </w:r>
          </w:p>
          <w:p w:rsidR="00C76ADA" w:rsidRPr="00895A32" w:rsidRDefault="00C76ADA" w:rsidP="006B49AD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95A32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A211CD" w:rsidP="006B4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C76ADA"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76ADA" w:rsidRPr="00895A32" w:rsidTr="000F6BE7">
        <w:trPr>
          <w:trHeight w:val="20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76ADA" w:rsidRPr="00895A32" w:rsidTr="000F6BE7">
        <w:trPr>
          <w:trHeight w:val="122"/>
        </w:trPr>
        <w:tc>
          <w:tcPr>
            <w:tcW w:w="10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</w:tr>
      <w:tr w:rsidR="009D6183" w:rsidRPr="00895A32" w:rsidTr="000F6BE7">
        <w:trPr>
          <w:trHeight w:val="225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3" w:rsidRPr="00895A32" w:rsidRDefault="009D6183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4"/>
                <w:szCs w:val="24"/>
              </w:rPr>
              <w:t>Реализация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392,01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392,01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color w:val="000000" w:themeColor="text1"/>
              </w:rPr>
              <w:t>Осуществление расходов по обслуживанию муниципального долга своевременно и в полном объеме</w:t>
            </w:r>
          </w:p>
        </w:tc>
      </w:tr>
      <w:tr w:rsidR="009D6183" w:rsidRPr="00895A32" w:rsidTr="000F6BE7">
        <w:trPr>
          <w:trHeight w:val="346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139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56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392,01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392,01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23D0" w:rsidRPr="00895A32" w:rsidRDefault="00DE23D0" w:rsidP="006B49AD">
      <w:pPr>
        <w:pStyle w:val="a3"/>
        <w:jc w:val="both"/>
        <w:rPr>
          <w:rFonts w:ascii="Times New Roman" w:hAnsi="Times New Roman" w:cs="Times New Roman"/>
        </w:rPr>
      </w:pPr>
    </w:p>
    <w:p w:rsidR="009D0DDB" w:rsidRPr="00895A32" w:rsidRDefault="009D0DDB" w:rsidP="006B49AD">
      <w:pPr>
        <w:pStyle w:val="a3"/>
        <w:jc w:val="both"/>
        <w:rPr>
          <w:rFonts w:ascii="Times New Roman" w:hAnsi="Times New Roman" w:cs="Times New Roman"/>
          <w:b/>
        </w:rPr>
      </w:pPr>
    </w:p>
    <w:p w:rsidR="004A3C66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Индикаторы муниципальной программы</w:t>
      </w:r>
    </w:p>
    <w:p w:rsidR="009D0DDB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«УПРАВЛЕНИЕ МУНИЦИПАЛЬНЫМИ ФИНАНСАМИ»</w:t>
      </w:r>
    </w:p>
    <w:p w:rsidR="004A3C66" w:rsidRPr="00895A32" w:rsidRDefault="004A3C66" w:rsidP="006B49A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40"/>
        <w:gridCol w:w="5879"/>
        <w:gridCol w:w="1134"/>
        <w:gridCol w:w="993"/>
        <w:gridCol w:w="1275"/>
      </w:tblGrid>
      <w:tr w:rsidR="00273945" w:rsidRPr="00895A32" w:rsidTr="000F6BE7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индикатора 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4D6304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73945" w:rsidRPr="00895A32" w:rsidTr="000F6BE7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программа: «Управление муниципальными финансами»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Категория качества управления муниципальными финансами  муниципального образования «Муйский район» по оценке Министерства финансов   Республики Бурятия (за последний отчетный период, по которому проведена 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1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*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оценка за 201</w:t>
            </w:r>
            <w:r w:rsidR="005B7B6E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5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год, за 201</w:t>
            </w:r>
            <w:r w:rsidR="005B7B6E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6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</w:t>
            </w:r>
            <w:r w:rsidR="00985AEB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н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ка еще не проведена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бюджета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64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 Создание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49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Эффективное управление муниципальным долгом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«Повышение эффективности бюджетных расходов»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Совершенствование бюджетного процесса.</w:t>
            </w:r>
          </w:p>
        </w:tc>
      </w:tr>
      <w:tr w:rsidR="00273945" w:rsidRPr="00895A32" w:rsidTr="000F6BE7">
        <w:trPr>
          <w:cantSplit/>
          <w:trHeight w:val="24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расходов на оказание муниципальных услуг муниципальными  учреждениями, сформированных на основе единых однотипных (групповых) нормативов (кроме расходов капитального характера и 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целевых расходов) составит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100</w:t>
            </w:r>
          </w:p>
        </w:tc>
      </w:tr>
      <w:tr w:rsidR="00273945" w:rsidRPr="00895A32" w:rsidTr="000F6BE7">
        <w:trPr>
          <w:trHeight w:val="24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Задача 2:  Внедрение программно-целевых принципов формирования бюджета</w:t>
            </w:r>
          </w:p>
        </w:tc>
      </w:tr>
      <w:tr w:rsidR="00273945" w:rsidRPr="00895A32" w:rsidTr="000F6BE7">
        <w:trPr>
          <w:cantSplit/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расходов бюджета муниципального образования, формируемых в рамках программ  - процентное соотношение объема расходов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1112A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≥</w:t>
            </w:r>
            <w:r w:rsidR="00DE23D0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94,9</w:t>
            </w:r>
          </w:p>
        </w:tc>
      </w:tr>
      <w:tr w:rsidR="00273945" w:rsidRPr="00895A32" w:rsidTr="000F6BE7">
        <w:trPr>
          <w:cantSplit/>
          <w:trHeight w:val="46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 Повышение качества финансового менеджмента главных распорядителей бюджетных средств</w:t>
            </w:r>
          </w:p>
        </w:tc>
      </w:tr>
      <w:tr w:rsidR="00273945" w:rsidRPr="00895A32" w:rsidTr="000F6BE7">
        <w:trPr>
          <w:cantSplit/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3945" w:rsidRPr="00895A32" w:rsidTr="000F6BE7">
        <w:trPr>
          <w:cantSplit/>
          <w:trHeight w:val="55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4: 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273945" w:rsidRPr="00895A32" w:rsidTr="000F6BE7">
        <w:trPr>
          <w:cantSplit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Сокращение расходов бюджетных средств (экономия)  от общего объема заявленных на торги средств составит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13,9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« Совершенствование межбюджетных отношений » </w:t>
            </w:r>
          </w:p>
        </w:tc>
      </w:tr>
      <w:tr w:rsidR="00273945" w:rsidRPr="00895A32" w:rsidTr="000F6BE7">
        <w:trPr>
          <w:cantSplit/>
          <w:trHeight w:val="43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273945" w:rsidRPr="00895A32" w:rsidTr="000F6BE7">
        <w:trPr>
          <w:cantSplit/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51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273945" w:rsidRPr="00895A32" w:rsidTr="000F6BE7">
        <w:trPr>
          <w:cantSplit/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895A3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73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 «Управление муниципальным долгом»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273945" w:rsidRPr="00895A32" w:rsidTr="000F6BE7">
        <w:trPr>
          <w:cantSplit/>
          <w:trHeight w:val="3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4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Просроченная задолженность по долговым обязательствам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=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52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=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Обслуживание муниципального  долга.</w:t>
            </w:r>
          </w:p>
        </w:tc>
      </w:tr>
      <w:tr w:rsidR="00273945" w:rsidRPr="00895A32" w:rsidTr="000F6BE7">
        <w:trPr>
          <w:cantSplit/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A83B3E" w:rsidTr="000F6BE7">
        <w:trPr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&lt;= 1,0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A83B3E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273945" w:rsidRPr="00A83B3E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73945" w:rsidRPr="00273945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0DDB" w:rsidRPr="009B0488" w:rsidRDefault="009D0DDB" w:rsidP="006B49AD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9D0DDB" w:rsidRPr="009B0488" w:rsidSect="000A09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B4B"/>
    <w:multiLevelType w:val="hybridMultilevel"/>
    <w:tmpl w:val="3DE85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D31F6"/>
    <w:multiLevelType w:val="hybridMultilevel"/>
    <w:tmpl w:val="BEC6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D3FCF"/>
    <w:multiLevelType w:val="hybridMultilevel"/>
    <w:tmpl w:val="2CF4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2037B"/>
    <w:multiLevelType w:val="hybridMultilevel"/>
    <w:tmpl w:val="808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9B9"/>
    <w:multiLevelType w:val="hybridMultilevel"/>
    <w:tmpl w:val="04DCC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522E48"/>
    <w:multiLevelType w:val="hybridMultilevel"/>
    <w:tmpl w:val="70F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A7269"/>
    <w:multiLevelType w:val="hybridMultilevel"/>
    <w:tmpl w:val="0516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8A12F3"/>
    <w:multiLevelType w:val="hybridMultilevel"/>
    <w:tmpl w:val="4B3C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273949"/>
    <w:multiLevelType w:val="hybridMultilevel"/>
    <w:tmpl w:val="C0A4F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4A2DAB"/>
    <w:multiLevelType w:val="hybridMultilevel"/>
    <w:tmpl w:val="71962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3C38B8"/>
    <w:multiLevelType w:val="hybridMultilevel"/>
    <w:tmpl w:val="566854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803123"/>
    <w:multiLevelType w:val="hybridMultilevel"/>
    <w:tmpl w:val="A62E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9"/>
    <w:rsid w:val="0005086B"/>
    <w:rsid w:val="000805BE"/>
    <w:rsid w:val="000920F8"/>
    <w:rsid w:val="0009321B"/>
    <w:rsid w:val="000A09D2"/>
    <w:rsid w:val="000A2B8E"/>
    <w:rsid w:val="000C101E"/>
    <w:rsid w:val="000C7212"/>
    <w:rsid w:val="000D2B73"/>
    <w:rsid w:val="000E52A0"/>
    <w:rsid w:val="000F6BE7"/>
    <w:rsid w:val="00102AA5"/>
    <w:rsid w:val="00133D66"/>
    <w:rsid w:val="00135AE3"/>
    <w:rsid w:val="00171EC7"/>
    <w:rsid w:val="001954CB"/>
    <w:rsid w:val="001A5690"/>
    <w:rsid w:val="001C01C9"/>
    <w:rsid w:val="00200848"/>
    <w:rsid w:val="00237932"/>
    <w:rsid w:val="0026699C"/>
    <w:rsid w:val="00273945"/>
    <w:rsid w:val="002944CB"/>
    <w:rsid w:val="002B1B0A"/>
    <w:rsid w:val="002C240E"/>
    <w:rsid w:val="002C7614"/>
    <w:rsid w:val="002F49AC"/>
    <w:rsid w:val="00353A84"/>
    <w:rsid w:val="0036401F"/>
    <w:rsid w:val="0037305E"/>
    <w:rsid w:val="00375702"/>
    <w:rsid w:val="003871A5"/>
    <w:rsid w:val="00394D3A"/>
    <w:rsid w:val="003E3B97"/>
    <w:rsid w:val="0041274C"/>
    <w:rsid w:val="004201E9"/>
    <w:rsid w:val="004409C7"/>
    <w:rsid w:val="00447B51"/>
    <w:rsid w:val="00475A59"/>
    <w:rsid w:val="00486235"/>
    <w:rsid w:val="0049233A"/>
    <w:rsid w:val="004A3C66"/>
    <w:rsid w:val="004C6E6D"/>
    <w:rsid w:val="004D6304"/>
    <w:rsid w:val="00565041"/>
    <w:rsid w:val="00566A1F"/>
    <w:rsid w:val="00570B5A"/>
    <w:rsid w:val="00584A55"/>
    <w:rsid w:val="00591B5B"/>
    <w:rsid w:val="005B1F94"/>
    <w:rsid w:val="005B7B6E"/>
    <w:rsid w:val="005C6243"/>
    <w:rsid w:val="005D5E86"/>
    <w:rsid w:val="005E0296"/>
    <w:rsid w:val="005F59DB"/>
    <w:rsid w:val="006054DF"/>
    <w:rsid w:val="00605794"/>
    <w:rsid w:val="006150B7"/>
    <w:rsid w:val="00652B52"/>
    <w:rsid w:val="00653851"/>
    <w:rsid w:val="00664ABE"/>
    <w:rsid w:val="0067600F"/>
    <w:rsid w:val="0068226F"/>
    <w:rsid w:val="006A2E1F"/>
    <w:rsid w:val="006B49AD"/>
    <w:rsid w:val="006F7F13"/>
    <w:rsid w:val="00735361"/>
    <w:rsid w:val="007617EF"/>
    <w:rsid w:val="00792885"/>
    <w:rsid w:val="007F0B57"/>
    <w:rsid w:val="008127C2"/>
    <w:rsid w:val="0086501E"/>
    <w:rsid w:val="00881037"/>
    <w:rsid w:val="008839E0"/>
    <w:rsid w:val="00895A32"/>
    <w:rsid w:val="00896E6E"/>
    <w:rsid w:val="008F3B72"/>
    <w:rsid w:val="0091112A"/>
    <w:rsid w:val="009311BC"/>
    <w:rsid w:val="0093237D"/>
    <w:rsid w:val="00945CEB"/>
    <w:rsid w:val="00983DDA"/>
    <w:rsid w:val="00985AEB"/>
    <w:rsid w:val="009A7176"/>
    <w:rsid w:val="009B0488"/>
    <w:rsid w:val="009C38B8"/>
    <w:rsid w:val="009C5B7F"/>
    <w:rsid w:val="009D0DDB"/>
    <w:rsid w:val="009D6183"/>
    <w:rsid w:val="00A16159"/>
    <w:rsid w:val="00A211CD"/>
    <w:rsid w:val="00A419B4"/>
    <w:rsid w:val="00A5107A"/>
    <w:rsid w:val="00A643E8"/>
    <w:rsid w:val="00A72EC2"/>
    <w:rsid w:val="00A83B3E"/>
    <w:rsid w:val="00AA1FFC"/>
    <w:rsid w:val="00AF7157"/>
    <w:rsid w:val="00B21EC2"/>
    <w:rsid w:val="00B36D46"/>
    <w:rsid w:val="00B41218"/>
    <w:rsid w:val="00B5486B"/>
    <w:rsid w:val="00B57445"/>
    <w:rsid w:val="00B7038C"/>
    <w:rsid w:val="00BC5A90"/>
    <w:rsid w:val="00BD67CA"/>
    <w:rsid w:val="00BF57FA"/>
    <w:rsid w:val="00C073AA"/>
    <w:rsid w:val="00C12A32"/>
    <w:rsid w:val="00C1717F"/>
    <w:rsid w:val="00C64AD0"/>
    <w:rsid w:val="00C72FFB"/>
    <w:rsid w:val="00C76ADA"/>
    <w:rsid w:val="00C80737"/>
    <w:rsid w:val="00C84294"/>
    <w:rsid w:val="00CA1903"/>
    <w:rsid w:val="00CA48BC"/>
    <w:rsid w:val="00CF03D4"/>
    <w:rsid w:val="00D14104"/>
    <w:rsid w:val="00D53D4C"/>
    <w:rsid w:val="00D61DD4"/>
    <w:rsid w:val="00D649EE"/>
    <w:rsid w:val="00D6549F"/>
    <w:rsid w:val="00D75040"/>
    <w:rsid w:val="00D84AC0"/>
    <w:rsid w:val="00DA6C03"/>
    <w:rsid w:val="00DC7934"/>
    <w:rsid w:val="00DD2BEC"/>
    <w:rsid w:val="00DE23D0"/>
    <w:rsid w:val="00E351E5"/>
    <w:rsid w:val="00E5148C"/>
    <w:rsid w:val="00EC42B4"/>
    <w:rsid w:val="00F51542"/>
    <w:rsid w:val="00F8197B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4BF"/>
  <w15:docId w15:val="{FDAFFE92-0567-43B5-8C37-312BA5C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ЭКОНОМ</cp:lastModifiedBy>
  <cp:revision>24</cp:revision>
  <cp:lastPrinted>2017-03-02T08:00:00Z</cp:lastPrinted>
  <dcterms:created xsi:type="dcterms:W3CDTF">2015-03-12T07:39:00Z</dcterms:created>
  <dcterms:modified xsi:type="dcterms:W3CDTF">2017-03-17T07:26:00Z</dcterms:modified>
</cp:coreProperties>
</file>